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0" w:type="dxa"/>
        <w:jc w:val="center"/>
        <w:tblLook w:val="04A0"/>
      </w:tblPr>
      <w:tblGrid>
        <w:gridCol w:w="680"/>
        <w:gridCol w:w="6706"/>
        <w:gridCol w:w="1514"/>
      </w:tblGrid>
      <w:tr w:rsidR="008E27E8" w:rsidTr="000D5BB0">
        <w:trPr>
          <w:trHeight w:val="525"/>
          <w:jc w:val="center"/>
        </w:trPr>
        <w:tc>
          <w:tcPr>
            <w:tcW w:w="8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附件：</w:t>
            </w:r>
            <w:r>
              <w:rPr>
                <w:rFonts w:asciiTheme="minorEastAsia" w:eastAsiaTheme="minorEastAsia" w:hAnsiTheme="minorEastAsia"/>
                <w:b/>
                <w:sz w:val="28"/>
                <w:szCs w:val="28"/>
                <w:lang w:eastAsia="zh-CN"/>
              </w:rPr>
              <w:t>食品科学与工程学院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研究生高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水平国内学术会议清单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会议名称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备注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全国干燥大会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全国农产品贮藏加工科技交流大会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全国糖生物学学术会议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中国化学会胶体与界面化学会议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中国化学会学术年会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中国科协青年科学家论坛暨粮油营养与健康青年科学家论坛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中国农业工程学会农产品加工及贮藏工程分会学术年会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中国食品科学技术学会年会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中国微生物学会全国学术年会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中国粮油学会油脂分会学术年会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ICC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亚太区国际粮食科技大会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青年科学家国际论坛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乳酸菌与健康国际研讨会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中国食品与农产品安全检测技术与质量控制国际论坛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7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全国果蔬加工产业与学科发展研讨会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国际包装与食品工程、农产品加工学术年会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全谷物食品与健康国际研讨会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一级学会举办</w:t>
            </w:r>
            <w:proofErr w:type="spellEnd"/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国际功能食品与保健品发展大会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食品科学与人类健康国际研讨会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食品质量与安全学术研讨会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淀粉科学会议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中国经济林产品加工利用科技研讨会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中国肉类科技大会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中国植物病理学会产后病理学专业委员会学术年会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中国乳业科技大会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中国国际食品安全技术论坛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国际食品科学与技术交流会（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ICFST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国际食品安全与营养健康高峰论坛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食品真实性技术与产业发展国际论坛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暨食品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真实性技术国际联合研究中心年会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一带一路全球健康国际研讨会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中国国际食品安全与质量控制会议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</w:p>
        </w:tc>
      </w:tr>
      <w:tr w:rsidR="008E27E8" w:rsidTr="000D5BB0">
        <w:trPr>
          <w:trHeight w:val="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中国禽蛋产业科技大会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E8" w:rsidRDefault="008E27E8" w:rsidP="000D5BB0">
            <w:pPr>
              <w:widowControl/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8E27E8" w:rsidRDefault="008E27E8" w:rsidP="008E27E8">
      <w:pPr>
        <w:pStyle w:val="a4"/>
        <w:spacing w:before="0" w:beforeAutospacing="0" w:after="0" w:afterAutospacing="0" w:line="576" w:lineRule="exact"/>
        <w:ind w:firstLineChars="200" w:firstLine="640"/>
        <w:rPr>
          <w:rFonts w:ascii="仿宋" w:eastAsia="仿宋" w:hAnsi="仿宋" w:cs="Times New Roman"/>
          <w:kern w:val="2"/>
          <w:sz w:val="32"/>
          <w:szCs w:val="32"/>
        </w:rPr>
      </w:pPr>
    </w:p>
    <w:p w:rsidR="008E27E8" w:rsidRPr="006351D5" w:rsidRDefault="008E27E8" w:rsidP="008E27E8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64076" w:rsidRDefault="008E27E8">
      <w:pPr>
        <w:rPr>
          <w:lang w:eastAsia="zh-CN"/>
        </w:rPr>
      </w:pPr>
    </w:p>
    <w:sectPr w:rsidR="00D64076" w:rsidSect="005A7D2A">
      <w:footerReference w:type="even" r:id="rId4"/>
      <w:footerReference w:type="default" r:id="rId5"/>
      <w:pgSz w:w="11910" w:h="16840"/>
      <w:pgMar w:top="1701" w:right="1588" w:bottom="1701" w:left="1588" w:header="720" w:footer="1020" w:gutter="0"/>
      <w:pgNumType w:fmt="numberInDash"/>
      <w:cols w:space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2A" w:rsidRDefault="008E27E8">
    <w:pPr>
      <w:pStyle w:val="a3"/>
      <w:rPr>
        <w:rFonts w:ascii="仿宋" w:eastAsia="仿宋" w:hAnsi="仿宋"/>
        <w:sz w:val="24"/>
        <w:szCs w:val="24"/>
      </w:rPr>
    </w:pPr>
    <w:r>
      <w:rPr>
        <w:rFonts w:ascii="仿宋" w:eastAsia="仿宋" w:hAnsi="仿宋"/>
        <w:sz w:val="24"/>
        <w:szCs w:val="24"/>
      </w:rPr>
      <w:fldChar w:fldCharType="begin"/>
    </w:r>
    <w:r>
      <w:rPr>
        <w:rFonts w:ascii="仿宋" w:eastAsia="仿宋" w:hAnsi="仿宋"/>
        <w:sz w:val="24"/>
        <w:szCs w:val="24"/>
      </w:rPr>
      <w:instrText xml:space="preserve"> PAGE   \* MERGEFORMAT </w:instrText>
    </w:r>
    <w:r>
      <w:rPr>
        <w:rFonts w:ascii="仿宋" w:eastAsia="仿宋" w:hAnsi="仿宋"/>
        <w:sz w:val="24"/>
        <w:szCs w:val="24"/>
      </w:rPr>
      <w:fldChar w:fldCharType="separate"/>
    </w:r>
    <w:r w:rsidRPr="00480E42">
      <w:rPr>
        <w:rFonts w:ascii="仿宋" w:eastAsia="仿宋" w:hAnsi="仿宋"/>
        <w:noProof/>
        <w:sz w:val="24"/>
        <w:szCs w:val="24"/>
        <w:lang w:val="zh-CN"/>
      </w:rPr>
      <w:t>-</w:t>
    </w:r>
    <w:r>
      <w:rPr>
        <w:rFonts w:ascii="仿宋" w:eastAsia="仿宋" w:hAnsi="仿宋"/>
        <w:noProof/>
        <w:sz w:val="24"/>
        <w:szCs w:val="24"/>
      </w:rPr>
      <w:t xml:space="preserve"> 6 -</w:t>
    </w:r>
    <w:r>
      <w:rPr>
        <w:rFonts w:ascii="仿宋" w:eastAsia="仿宋" w:hAnsi="仿宋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2A" w:rsidRDefault="008E27E8">
    <w:pPr>
      <w:pStyle w:val="a3"/>
      <w:ind w:left="4153" w:hanging="4153"/>
      <w:jc w:val="right"/>
      <w:rPr>
        <w:rFonts w:ascii="宋体" w:eastAsia="宋体" w:hAnsi="宋体"/>
        <w:sz w:val="24"/>
        <w:szCs w:val="24"/>
      </w:rPr>
    </w:pPr>
    <w:r w:rsidRPr="000C758A">
      <w:fldChar w:fldCharType="begin"/>
    </w:r>
    <w:r>
      <w:instrText xml:space="preserve"> PAGE   \* MERGEFORMAT </w:instrText>
    </w:r>
    <w:r w:rsidRPr="000C758A">
      <w:fldChar w:fldCharType="separate"/>
    </w:r>
    <w:r w:rsidRPr="008E27E8">
      <w:rPr>
        <w:rFonts w:ascii="宋体" w:eastAsia="宋体" w:hAnsi="宋体"/>
        <w:noProof/>
        <w:sz w:val="24"/>
        <w:szCs w:val="24"/>
        <w:lang w:val="zh-CN"/>
      </w:rPr>
      <w:t>-</w:t>
    </w:r>
    <w:r w:rsidRPr="008E27E8">
      <w:rPr>
        <w:rFonts w:ascii="宋体" w:eastAsia="宋体" w:hAnsi="宋体"/>
        <w:noProof/>
        <w:sz w:val="24"/>
        <w:szCs w:val="24"/>
      </w:rPr>
      <w:t xml:space="preserve"> 1 -</w:t>
    </w:r>
    <w:r>
      <w:rPr>
        <w:rFonts w:ascii="宋体" w:eastAsia="宋体" w:hAnsi="宋体"/>
        <w:sz w:val="24"/>
        <w:szCs w:val="2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7E8"/>
    <w:rsid w:val="004867F9"/>
    <w:rsid w:val="008E27E8"/>
    <w:rsid w:val="00D71065"/>
    <w:rsid w:val="00E5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27E8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E27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8E27E8"/>
    <w:rPr>
      <w:rFonts w:eastAsiaTheme="minorHAnsi"/>
      <w:kern w:val="0"/>
      <w:sz w:val="18"/>
      <w:szCs w:val="18"/>
      <w:lang w:eastAsia="en-US"/>
    </w:rPr>
  </w:style>
  <w:style w:type="paragraph" w:styleId="a4">
    <w:name w:val="Normal (Web)"/>
    <w:basedOn w:val="a"/>
    <w:uiPriority w:val="99"/>
    <w:unhideWhenUsed/>
    <w:qFormat/>
    <w:rsid w:val="008E27E8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2020-11-24T09:01:00Z</dcterms:created>
  <dcterms:modified xsi:type="dcterms:W3CDTF">2020-11-24T09:05:00Z</dcterms:modified>
</cp:coreProperties>
</file>