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5A4DEC">
      <w:pPr>
        <w:spacing w:line="100" w:lineRule="exact"/>
        <w:rPr>
          <w:color w:val="000000"/>
          <w:sz w:val="36"/>
          <w:szCs w:val="36"/>
        </w:rPr>
      </w:pPr>
      <w:bookmarkStart w:id="9" w:name="_GoBack"/>
      <w:bookmarkEnd w:id="9"/>
      <w:bookmarkStart w:id="0" w:name="_Toc530473016"/>
    </w:p>
    <w:bookmarkEnd w:id="0"/>
    <w:p w14:paraId="6B6C5044">
      <w:pPr>
        <w:spacing w:line="740" w:lineRule="exact"/>
        <w:jc w:val="center"/>
        <w:outlineLvl w:val="2"/>
        <w:rPr>
          <w:szCs w:val="24"/>
        </w:rPr>
      </w:pPr>
      <w:bookmarkStart w:id="1" w:name="_Toc1550903188"/>
      <w:bookmarkStart w:id="2" w:name="_Toc1099067205"/>
      <w:bookmarkStart w:id="3" w:name="_Toc175603519"/>
      <w:bookmarkStart w:id="4" w:name="_Toc1827832502"/>
      <w:bookmarkStart w:id="5" w:name="_Toc2124023149"/>
      <w:bookmarkStart w:id="6" w:name="_Toc1423068732"/>
      <w:bookmarkStart w:id="7" w:name="_Toc357348418"/>
      <w:bookmarkStart w:id="8" w:name="_Toc2131911538"/>
      <w:r>
        <w:rPr>
          <w:rFonts w:hint="eastAsia" w:eastAsia="黑体"/>
          <w:color w:val="000000"/>
          <w:sz w:val="32"/>
          <w:szCs w:val="32"/>
        </w:rPr>
        <w:t>2025年度</w:t>
      </w:r>
      <w:r>
        <w:rPr>
          <w:rFonts w:eastAsia="黑体"/>
          <w:color w:val="000000"/>
          <w:sz w:val="32"/>
          <w:szCs w:val="32"/>
        </w:rPr>
        <w:t>海南省</w:t>
      </w:r>
      <w:r>
        <w:rPr>
          <w:rFonts w:hint="eastAsia" w:eastAsia="黑体"/>
          <w:color w:val="000000"/>
          <w:sz w:val="32"/>
          <w:szCs w:val="32"/>
          <w:lang w:val="en-US" w:eastAsia="zh-CN"/>
        </w:rPr>
        <w:t>自然科学</w:t>
      </w:r>
      <w:r>
        <w:rPr>
          <w:rFonts w:eastAsia="黑体"/>
          <w:color w:val="000000"/>
          <w:sz w:val="32"/>
          <w:szCs w:val="32"/>
        </w:rPr>
        <w:t>奖提名公示内容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</w:p>
    <w:tbl>
      <w:tblPr>
        <w:tblStyle w:val="6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9"/>
        <w:gridCol w:w="7051"/>
      </w:tblGrid>
      <w:tr w14:paraId="309A83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2269" w:type="dxa"/>
            <w:vAlign w:val="center"/>
          </w:tcPr>
          <w:p w14:paraId="3F5FBEB9">
            <w:pPr>
              <w:jc w:val="center"/>
              <w:rPr>
                <w:rStyle w:val="9"/>
                <w:color w:val="auto"/>
              </w:rPr>
            </w:pPr>
            <w:r>
              <w:rPr>
                <w:rStyle w:val="9"/>
                <w:color w:val="auto"/>
              </w:rPr>
              <w:t>项目名称</w:t>
            </w:r>
          </w:p>
        </w:tc>
        <w:tc>
          <w:tcPr>
            <w:tcW w:w="7051" w:type="dxa"/>
            <w:vAlign w:val="center"/>
          </w:tcPr>
          <w:p w14:paraId="57248F4E">
            <w:pPr>
              <w:jc w:val="center"/>
              <w:rPr>
                <w:rStyle w:val="9"/>
                <w:b w:val="0"/>
                <w:color w:val="auto"/>
                <w:sz w:val="28"/>
              </w:rPr>
            </w:pPr>
            <w:r>
              <w:rPr>
                <w:rStyle w:val="9"/>
                <w:rFonts w:hint="eastAsia"/>
                <w:b w:val="0"/>
                <w:color w:val="auto"/>
                <w:sz w:val="28"/>
              </w:rPr>
              <w:t>食用油反式脂肪酸精准识别与靶向调控机制创新</w:t>
            </w:r>
          </w:p>
        </w:tc>
      </w:tr>
      <w:tr w14:paraId="689BB7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  <w:jc w:val="center"/>
        </w:trPr>
        <w:tc>
          <w:tcPr>
            <w:tcW w:w="2269" w:type="dxa"/>
            <w:vAlign w:val="center"/>
          </w:tcPr>
          <w:p w14:paraId="32C0CD83">
            <w:pPr>
              <w:jc w:val="center"/>
              <w:rPr>
                <w:rStyle w:val="9"/>
                <w:color w:val="auto"/>
              </w:rPr>
            </w:pPr>
            <w:r>
              <w:rPr>
                <w:rStyle w:val="9"/>
                <w:color w:val="auto"/>
              </w:rPr>
              <w:t>提名奖项及等级</w:t>
            </w:r>
          </w:p>
        </w:tc>
        <w:tc>
          <w:tcPr>
            <w:tcW w:w="7051" w:type="dxa"/>
            <w:vAlign w:val="center"/>
          </w:tcPr>
          <w:p w14:paraId="2998DE7A">
            <w:pPr>
              <w:jc w:val="center"/>
              <w:rPr>
                <w:rStyle w:val="9"/>
                <w:b w:val="0"/>
                <w:color w:val="auto"/>
                <w:sz w:val="28"/>
              </w:rPr>
            </w:pPr>
            <w:r>
              <w:rPr>
                <w:rStyle w:val="9"/>
                <w:rFonts w:hint="eastAsia"/>
                <w:b w:val="0"/>
                <w:color w:val="auto"/>
                <w:sz w:val="28"/>
              </w:rPr>
              <w:t>海南省自然科学一等奖</w:t>
            </w:r>
          </w:p>
        </w:tc>
      </w:tr>
      <w:tr w14:paraId="1F359F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2269" w:type="dxa"/>
            <w:vAlign w:val="center"/>
          </w:tcPr>
          <w:p w14:paraId="38DC7B47">
            <w:pPr>
              <w:jc w:val="center"/>
              <w:rPr>
                <w:b/>
                <w:bCs/>
                <w:sz w:val="24"/>
                <w:szCs w:val="24"/>
                <w:lang w:val="en"/>
              </w:rPr>
            </w:pPr>
            <w:r>
              <w:rPr>
                <w:rStyle w:val="9"/>
                <w:color w:val="auto"/>
              </w:rPr>
              <w:t>提名者</w:t>
            </w:r>
          </w:p>
        </w:tc>
        <w:tc>
          <w:tcPr>
            <w:tcW w:w="7051" w:type="dxa"/>
            <w:vAlign w:val="center"/>
          </w:tcPr>
          <w:p w14:paraId="7D722656">
            <w:pPr>
              <w:contextualSpacing w:val="0"/>
              <w:jc w:val="center"/>
              <w:rPr>
                <w:bCs/>
                <w:sz w:val="24"/>
                <w:szCs w:val="24"/>
              </w:rPr>
            </w:pPr>
            <w:r>
              <w:rPr>
                <w:rStyle w:val="9"/>
                <w:b w:val="0"/>
                <w:color w:val="auto"/>
                <w:sz w:val="28"/>
              </w:rPr>
              <w:t>海南大学</w:t>
            </w:r>
          </w:p>
        </w:tc>
      </w:tr>
      <w:tr w14:paraId="3F8615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7" w:hRule="atLeast"/>
          <w:jc w:val="center"/>
        </w:trPr>
        <w:tc>
          <w:tcPr>
            <w:tcW w:w="2269" w:type="dxa"/>
            <w:tcBorders>
              <w:right w:val="single" w:color="auto" w:sz="4" w:space="0"/>
            </w:tcBorders>
            <w:vAlign w:val="center"/>
          </w:tcPr>
          <w:p w14:paraId="4D87669C">
            <w:pPr>
              <w:spacing w:line="440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项目简介</w:t>
            </w:r>
          </w:p>
          <w:p w14:paraId="67307367">
            <w:pPr>
              <w:spacing w:line="440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（1200字以内）</w:t>
            </w:r>
          </w:p>
        </w:tc>
        <w:tc>
          <w:tcPr>
            <w:tcW w:w="7051" w:type="dxa"/>
            <w:tcBorders>
              <w:left w:val="single" w:color="auto" w:sz="4" w:space="0"/>
            </w:tcBorders>
            <w:vAlign w:val="center"/>
          </w:tcPr>
          <w:p w14:paraId="3C9E309C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4" w:lineRule="exact"/>
              <w:textAlignment w:val="auto"/>
              <w:outlineLvl w:val="1"/>
              <w:rPr>
                <w:rFonts w:hint="eastAsia" w:ascii="Times New Roman"/>
                <w:b w:val="0"/>
                <w:bCs w:val="0"/>
                <w:color w:val="000000"/>
              </w:rPr>
            </w:pPr>
            <w:r>
              <w:rPr>
                <w:rFonts w:hint="eastAsia" w:ascii="Times New Roman"/>
                <w:b w:val="0"/>
                <w:bCs w:val="0"/>
                <w:color w:val="000000"/>
              </w:rPr>
              <w:t>我国是食用油生产与消费大国，其食用安全关乎国计民生。食用油加工</w:t>
            </w:r>
            <w:r>
              <w:rPr>
                <w:rFonts w:hint="eastAsia" w:ascii="Times New Roman"/>
                <w:b w:val="0"/>
                <w:bCs w:val="0"/>
                <w:color w:val="000000"/>
                <w:lang w:val="en-US" w:eastAsia="zh-CN"/>
              </w:rPr>
              <w:t>贮藏</w:t>
            </w:r>
            <w:r>
              <w:rPr>
                <w:rFonts w:hint="eastAsia" w:ascii="Times New Roman"/>
                <w:b w:val="0"/>
                <w:bCs w:val="0"/>
                <w:color w:val="000000"/>
              </w:rPr>
              <w:t>过程产生的反式脂肪酸（TFAs）危害人体健康，而行业长期面临TFAs精准识别理论方法缺乏、形成机理不明、精准消除机制不清科学</w:t>
            </w:r>
            <w:r>
              <w:rPr>
                <w:rFonts w:hint="eastAsia" w:ascii="Times New Roman"/>
                <w:b w:val="0"/>
                <w:bCs w:val="0"/>
                <w:color w:val="000000"/>
                <w:lang w:val="en-US" w:eastAsia="zh-CN"/>
              </w:rPr>
              <w:t>问题</w:t>
            </w:r>
            <w:r>
              <w:rPr>
                <w:rFonts w:hint="eastAsia" w:ascii="Times New Roman"/>
                <w:b w:val="0"/>
                <w:bCs w:val="0"/>
                <w:color w:val="000000"/>
              </w:rPr>
              <w:t>瓶颈，制约产品品质提升与产业效益增长。依托国家自然科学基金等项目，经</w:t>
            </w:r>
            <w:r>
              <w:rPr>
                <w:rFonts w:hint="eastAsia" w:ascii="Times New Roman"/>
                <w:b w:val="0"/>
                <w:bCs w:val="0"/>
                <w:color w:val="000000"/>
                <w:lang w:val="en-US" w:eastAsia="zh-CN"/>
              </w:rPr>
              <w:t>10</w:t>
            </w:r>
            <w:r>
              <w:rPr>
                <w:rFonts w:hint="eastAsia" w:ascii="Times New Roman"/>
                <w:b w:val="0"/>
                <w:bCs w:val="0"/>
                <w:color w:val="000000"/>
              </w:rPr>
              <w:t>余年系统研究，取得</w:t>
            </w:r>
            <w:r>
              <w:rPr>
                <w:rFonts w:hint="eastAsia" w:ascii="Times New Roman"/>
                <w:b w:val="0"/>
                <w:bCs w:val="0"/>
                <w:color w:val="000000"/>
                <w:lang w:val="en-US" w:eastAsia="zh-CN"/>
              </w:rPr>
              <w:t>以下</w:t>
            </w:r>
            <w:r>
              <w:rPr>
                <w:rFonts w:hint="eastAsia" w:ascii="Times New Roman"/>
                <w:b w:val="0"/>
                <w:bCs w:val="0"/>
                <w:color w:val="000000"/>
              </w:rPr>
              <w:t>创新成果：</w:t>
            </w:r>
          </w:p>
          <w:p w14:paraId="39A43ABF">
            <w:pPr>
              <w:pStyle w:val="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4" w:lineRule="exact"/>
              <w:ind w:firstLine="480" w:firstLineChars="200"/>
              <w:textAlignment w:val="auto"/>
              <w:outlineLvl w:val="1"/>
              <w:rPr>
                <w:rFonts w:hint="eastAsia" w:ascii="Times New Roman"/>
                <w:b w:val="0"/>
                <w:bCs w:val="0"/>
                <w:color w:val="000000"/>
              </w:rPr>
            </w:pPr>
            <w:r>
              <w:rPr>
                <w:rFonts w:hint="eastAsia" w:ascii="Times New Roman"/>
                <w:b w:val="0"/>
                <w:bCs w:val="0"/>
                <w:color w:val="000000"/>
                <w:lang w:val="en-US" w:eastAsia="zh-CN"/>
              </w:rPr>
              <w:t>1.创建</w:t>
            </w:r>
            <w:r>
              <w:rPr>
                <w:rFonts w:hint="eastAsia" w:ascii="Times New Roman"/>
                <w:b w:val="0"/>
                <w:bCs w:val="0"/>
                <w:color w:val="000000"/>
              </w:rPr>
              <w:t>食用油TFAs红外快检与</w:t>
            </w:r>
            <w:r>
              <w:rPr>
                <w:rFonts w:hint="eastAsia" w:ascii="Times New Roman"/>
                <w:b w:val="0"/>
                <w:bCs w:val="0"/>
                <w:color w:val="000000"/>
                <w:lang w:val="en-US" w:eastAsia="zh-CN"/>
              </w:rPr>
              <w:t>精细结构质谱表征理论方</w:t>
            </w:r>
            <w:r>
              <w:rPr>
                <w:rFonts w:hint="eastAsia" w:ascii="Times New Roman"/>
                <w:b w:val="0"/>
                <w:bCs w:val="0"/>
                <w:color w:val="000000"/>
              </w:rPr>
              <w:t>法，首次揭示其组分特异性结构特征</w:t>
            </w:r>
            <w:r>
              <w:rPr>
                <w:rFonts w:ascii="Times New Roman"/>
                <w:b w:val="0"/>
                <w:bCs w:val="0"/>
                <w:color w:val="000000"/>
              </w:rPr>
              <w:t>，实现传统</w:t>
            </w:r>
            <w:r>
              <w:rPr>
                <w:rFonts w:hint="eastAsia" w:ascii="Times New Roman"/>
                <w:b w:val="0"/>
                <w:bCs w:val="0"/>
                <w:color w:val="000000"/>
                <w:lang w:val="en-US" w:eastAsia="zh-CN"/>
              </w:rPr>
              <w:t>分析方法</w:t>
            </w:r>
            <w:r>
              <w:rPr>
                <w:rFonts w:ascii="Times New Roman"/>
                <w:b w:val="0"/>
                <w:bCs w:val="0"/>
                <w:color w:val="000000"/>
              </w:rPr>
              <w:t>的</w:t>
            </w:r>
            <w:r>
              <w:rPr>
                <w:rFonts w:hint="eastAsia" w:ascii="Times New Roman"/>
                <w:b w:val="0"/>
                <w:bCs w:val="0"/>
                <w:color w:val="000000"/>
                <w:lang w:val="en-US" w:eastAsia="zh-CN"/>
              </w:rPr>
              <w:t>范式</w:t>
            </w:r>
            <w:r>
              <w:rPr>
                <w:rFonts w:ascii="Times New Roman"/>
                <w:b w:val="0"/>
                <w:bCs w:val="0"/>
                <w:color w:val="000000"/>
              </w:rPr>
              <w:t>革新。</w:t>
            </w:r>
            <w:r>
              <w:rPr>
                <w:rFonts w:hint="eastAsia" w:ascii="Times New Roman"/>
                <w:b w:val="0"/>
                <w:bCs w:val="0"/>
                <w:color w:val="000000"/>
              </w:rPr>
              <w:t>①首创ATR</w:t>
            </w:r>
            <w:r>
              <w:rPr>
                <w:rFonts w:hint="eastAsia" w:ascii="Times New Roman"/>
                <w:b w:val="0"/>
                <w:bCs w:val="0"/>
                <w:color w:val="000000"/>
                <w:lang w:val="en-US" w:eastAsia="zh-CN"/>
              </w:rPr>
              <w:t>20点</w:t>
            </w:r>
            <w:r>
              <w:rPr>
                <w:rFonts w:hint="eastAsia" w:ascii="Times New Roman"/>
                <w:b w:val="0"/>
                <w:bCs w:val="0"/>
                <w:color w:val="000000"/>
              </w:rPr>
              <w:t>反射-温控耦合-光谱重组理论，建立的FT-IR快检模型R²&gt;0.9998，灵敏度较国标提升20-40倍，检出限低至0.018%，远优于同类方法；②突破氰丙基/离子液固定相色谱理论，构建高通量GC/GC-MS分离方法，新增35种脂肪酸、12种TFAs识别</w:t>
            </w:r>
            <w:r>
              <w:rPr>
                <w:rFonts w:hint="eastAsia" w:ascii="Times New Roman"/>
                <w:b w:val="0"/>
                <w:bCs w:val="0"/>
                <w:strike w:val="0"/>
                <w:dstrike w:val="0"/>
                <w:color w:val="000000"/>
              </w:rPr>
              <w:t>，破解传统方法分离不全瓶颈</w:t>
            </w:r>
            <w:r>
              <w:rPr>
                <w:rFonts w:hint="eastAsia" w:ascii="Times New Roman"/>
                <w:b w:val="0"/>
                <w:bCs w:val="0"/>
                <w:strike w:val="0"/>
                <w:color w:val="000000"/>
              </w:rPr>
              <w:t>。</w:t>
            </w:r>
            <w:r>
              <w:rPr>
                <w:rFonts w:hint="eastAsia" w:ascii="Times New Roman"/>
                <w:b w:val="0"/>
                <w:bCs w:val="0"/>
                <w:color w:val="000000"/>
              </w:rPr>
              <w:t>③提出“电荷转变+双键标记”双重衍生化理论，DEEA衍生化使质谱响应提</w:t>
            </w:r>
            <w:r>
              <w:rPr>
                <w:rFonts w:hint="eastAsia" w:ascii="Times New Roman"/>
                <w:b w:val="0"/>
                <w:bCs w:val="0"/>
                <w:color w:val="auto"/>
              </w:rPr>
              <w:t>升6700倍，结合PB反应建立C=C位置诊断理论，实现多双键脂肪酸精细结构精准解析；创立CD-RI-LC-MS/MS整合理论，0.5</w:t>
            </w:r>
            <w:r>
              <w:rPr>
                <w:rFonts w:hint="eastAsia" w:ascii="Times New Roman"/>
                <w:b w:val="0"/>
                <w:bCs w:val="0"/>
                <w:color w:val="auto"/>
                <w:lang w:val="en-US" w:eastAsia="zh-CN"/>
              </w:rPr>
              <w:t>min</w:t>
            </w:r>
            <w:r>
              <w:rPr>
                <w:rFonts w:hint="eastAsia" w:ascii="Times New Roman"/>
                <w:b w:val="0"/>
                <w:bCs w:val="0"/>
                <w:color w:val="auto"/>
              </w:rPr>
              <w:t>完成氧化TFAs脂肪酸衍生，首次阐明六大类氧化TFAs脂肪酸碎裂规律。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</w:rPr>
              <w:t>④</w:t>
            </w:r>
            <w:r>
              <w:rPr>
                <w:rFonts w:hint="eastAsia" w:ascii="Times New Roman"/>
                <w:b w:val="0"/>
                <w:bCs w:val="0"/>
                <w:color w:val="auto"/>
              </w:rPr>
              <w:t>构建11种</w:t>
            </w:r>
            <w:r>
              <w:rPr>
                <w:rFonts w:hint="eastAsia" w:ascii="Times New Roman"/>
                <w:b w:val="0"/>
                <w:bCs w:val="0"/>
                <w:color w:val="auto"/>
                <w:lang w:val="en-US" w:eastAsia="zh-CN"/>
              </w:rPr>
              <w:t>食用油</w:t>
            </w:r>
            <w:r>
              <w:rPr>
                <w:rFonts w:hint="eastAsia" w:ascii="Times New Roman"/>
                <w:b w:val="0"/>
                <w:bCs w:val="0"/>
                <w:color w:val="auto"/>
              </w:rPr>
              <w:t>关键TFAs</w:t>
            </w:r>
            <w:r>
              <w:rPr>
                <w:rFonts w:hint="eastAsia" w:ascii="Times New Roman"/>
                <w:b w:val="0"/>
                <w:bCs w:val="0"/>
                <w:color w:val="auto"/>
                <w:lang w:val="en-US" w:eastAsia="zh-CN"/>
              </w:rPr>
              <w:t>及其衍生物</w:t>
            </w:r>
            <w:r>
              <w:rPr>
                <w:rFonts w:hint="eastAsia" w:ascii="Times New Roman"/>
                <w:b w:val="0"/>
                <w:bCs w:val="0"/>
                <w:color w:val="auto"/>
              </w:rPr>
              <w:t>特征指纹图谱理论库，为供应链风险防控、热加工调控提供原创性理论与方法支撑</w:t>
            </w:r>
            <w:r>
              <w:rPr>
                <w:rFonts w:hint="eastAsia" w:ascii="Times New Roman"/>
                <w:b w:val="0"/>
                <w:bCs w:val="0"/>
                <w:color w:val="000000"/>
              </w:rPr>
              <w:t>。</w:t>
            </w:r>
          </w:p>
          <w:p w14:paraId="49DC912A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4" w:lineRule="exact"/>
              <w:ind w:firstLine="482"/>
              <w:textAlignment w:val="auto"/>
              <w:outlineLvl w:val="1"/>
              <w:rPr>
                <w:rFonts w:hint="eastAsia" w:ascii="宋体" w:hAnsi="宋体"/>
                <w:b w:val="0"/>
                <w:bCs w:val="0"/>
                <w:color w:val="000000"/>
                <w:szCs w:val="24"/>
              </w:rPr>
            </w:pPr>
            <w:r>
              <w:rPr>
                <w:rFonts w:ascii="Times New Roman"/>
                <w:b w:val="0"/>
                <w:bCs w:val="0"/>
                <w:color w:val="000000"/>
              </w:rPr>
              <w:t>2.</w:t>
            </w:r>
            <w:r>
              <w:rPr>
                <w:rFonts w:hint="eastAsia" w:ascii="Times New Roman"/>
                <w:b w:val="0"/>
                <w:bCs w:val="0"/>
                <w:color w:val="000000"/>
              </w:rPr>
              <w:t>构建“量子化学+AI”融合方法，揭示食用油热加工TFAs双轨驱动新机理，确立共性限速机制与核心调控靶点</w:t>
            </w:r>
            <w:r>
              <w:rPr>
                <w:rFonts w:ascii="Times New Roman"/>
                <w:b w:val="0"/>
                <w:bCs w:val="0"/>
                <w:color w:val="000000"/>
              </w:rPr>
              <w:t>。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Cs w:val="24"/>
              </w:rPr>
              <w:t>①将量子化学与AI深度融合，首次明晰反式油酸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Cs w:val="24"/>
                <w:lang w:eastAsia="zh-CN"/>
              </w:rPr>
              <w:t>、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Cs w:val="24"/>
                <w:lang w:val="en-US" w:eastAsia="zh-CN"/>
              </w:rPr>
              <w:t>反式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Cs w:val="24"/>
                <w:lang w:val="en-US" w:eastAsia="zh-CN"/>
              </w:rPr>
              <w:t>亚油酸、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Cs w:val="24"/>
                <w:lang w:val="en-US" w:eastAsia="zh-CN"/>
              </w:rPr>
              <w:t>反式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Cs w:val="24"/>
                <w:lang w:val="en-US" w:eastAsia="zh-CN"/>
              </w:rPr>
              <w:t>亚麻酸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Cs w:val="24"/>
              </w:rPr>
              <w:t>等三类主要TFAs生成的9条关键路径，发现“单-双-三-多TFAs”阶梯式生成规律，提出“自由基异构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Cs w:val="24"/>
                <w:lang w:eastAsia="zh-CN"/>
              </w:rPr>
              <w:t>”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Cs w:val="24"/>
                <w:lang w:val="en-US" w:eastAsia="zh-CN"/>
              </w:rPr>
              <w:t>和“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Cs w:val="24"/>
              </w:rPr>
              <w:t>质子转移异构”双轨驱动新理论体系，突破传统单一机制认知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Cs w:val="24"/>
                <w:lang w:eastAsia="zh-CN"/>
              </w:rPr>
              <w:t>，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  <w:t>明确自由基链式反应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  <w:t>是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  <w:t>TFAs大量生成的核心驱动力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Cs w:val="24"/>
              </w:rPr>
              <w:t>。②系统解析33个关键分子构象变化规律，挖掘形成过程关键过渡态与中间体结构特征，阐明双轨机制限速步骤的结构位点差异性，从分子层面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Cs w:val="24"/>
                <w:lang w:val="en-US" w:eastAsia="zh-CN"/>
              </w:rPr>
              <w:t>阐明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Cs w:val="24"/>
              </w:rPr>
              <w:t>异构化本质。③精准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Cs w:val="24"/>
                <w:lang w:val="en-US" w:eastAsia="zh-CN"/>
              </w:rPr>
              <w:t>明确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Cs w:val="24"/>
              </w:rPr>
              <w:t>6个共性关键限速步骤及核心限速结构位点，完善食用油热加工TFAs形成的分子机制理论体系，为TFAs靶向调控技术研发提供核心理论靶点与科学依据。</w:t>
            </w:r>
          </w:p>
          <w:p w14:paraId="48C81979">
            <w:pPr>
              <w:spacing w:line="440" w:lineRule="exact"/>
              <w:ind w:firstLine="480" w:firstLineChars="200"/>
              <w:jc w:val="left"/>
              <w:rPr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24"/>
              </w:rPr>
              <w:t>3.率先提出TFAs调控“SII”构效关系新理论，阐明天然酚醇分子调控机理，突破零TFAs高品质油脂研发瓶颈。①发现白藜芦醇等天然酚醇可显著抑制TFAs生成（16~43%）并诱导CFAs转化，首次阐明其遵循“抽氢异构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24"/>
                <w:szCs w:val="20"/>
                <w:lang w:eastAsia="zh-CN"/>
              </w:rPr>
              <w:t>（抽氢/直接异构）”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24"/>
                <w:szCs w:val="20"/>
                <w:lang w:val="en-US" w:eastAsia="zh-CN"/>
              </w:rPr>
              <w:t>和“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24"/>
                <w:szCs w:val="20"/>
              </w:rPr>
              <w:t>质子转移异构”的调控机理，明确羟基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24"/>
                <w:szCs w:val="20"/>
                <w:lang w:val="en-US" w:eastAsia="zh-CN"/>
              </w:rPr>
              <w:t>、双键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24"/>
                <w:szCs w:val="20"/>
              </w:rPr>
              <w:t>为核心活性位点。②提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24"/>
              </w:rPr>
              <w:t>出TFAs调控“同步抑制和诱导（SII）”构效关系新理论，揭示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24"/>
                <w:lang w:val="en-US" w:eastAsia="zh-CN"/>
              </w:rPr>
              <w:t>天然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24"/>
              </w:rPr>
              <w:t>酚醇通过特定结构与TFAs形成路径关键过渡态位点结合，从源头阻断自由基链式反应主路径的作用机制。③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24"/>
                <w:lang w:val="en-US" w:eastAsia="zh-CN"/>
              </w:rPr>
              <w:t>建立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24"/>
              </w:rPr>
              <w:t>油料原料天然酚醇内源富集调控策略，研发出零TFAs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24"/>
                <w:lang w:val="en-US" w:eastAsia="zh-CN"/>
              </w:rPr>
              <w:t>系列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24"/>
              </w:rPr>
              <w:t>高品质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24"/>
                <w:lang w:val="en-US" w:eastAsia="zh-CN"/>
              </w:rPr>
              <w:t>油脂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24"/>
              </w:rPr>
              <w:t>产品，为油脂行业TFAs 准防控提供理论与技术方案。</w:t>
            </w:r>
          </w:p>
        </w:tc>
      </w:tr>
      <w:tr w14:paraId="42819F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5" w:hRule="atLeast"/>
          <w:jc w:val="center"/>
        </w:trPr>
        <w:tc>
          <w:tcPr>
            <w:tcW w:w="2269" w:type="dxa"/>
            <w:tcBorders>
              <w:right w:val="single" w:color="auto" w:sz="4" w:space="0"/>
            </w:tcBorders>
            <w:vAlign w:val="center"/>
          </w:tcPr>
          <w:p w14:paraId="15FCEB40">
            <w:pPr>
              <w:spacing w:line="440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提名书</w:t>
            </w:r>
          </w:p>
          <w:p w14:paraId="22D9A5D5">
            <w:pPr>
              <w:spacing w:line="440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相关内容</w:t>
            </w:r>
          </w:p>
        </w:tc>
        <w:tc>
          <w:tcPr>
            <w:tcW w:w="7051" w:type="dxa"/>
            <w:tcBorders>
              <w:left w:val="single" w:color="auto" w:sz="4" w:space="0"/>
            </w:tcBorders>
            <w:vAlign w:val="center"/>
          </w:tcPr>
          <w:p w14:paraId="363F066F">
            <w:pPr>
              <w:spacing w:line="440" w:lineRule="exact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代表性论文</w:t>
            </w:r>
            <w:r>
              <w:rPr>
                <w:rFonts w:hint="eastAsia"/>
                <w:bCs/>
                <w:sz w:val="24"/>
                <w:szCs w:val="24"/>
              </w:rPr>
              <w:t>：</w:t>
            </w:r>
          </w:p>
          <w:p w14:paraId="1B204CF6">
            <w:pPr>
              <w:numPr>
                <w:ilvl w:val="-1"/>
                <w:numId w:val="0"/>
              </w:numPr>
              <w:spacing w:line="440" w:lineRule="exact"/>
              <w:ind w:left="0" w:firstLine="0" w:firstLineChars="0"/>
              <w:jc w:val="both"/>
              <w:rPr>
                <w:rFonts w:hint="eastAsia" w:ascii="Times New Roman" w:hAnsi="Times New Roman" w:eastAsia="宋体" w:cs="Times New Roman"/>
                <w:color w:val="00000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24"/>
                <w:szCs w:val="20"/>
                <w:lang w:val="en-US" w:eastAsia="zh-CN"/>
              </w:rPr>
              <w:t>1.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24"/>
                <w:szCs w:val="20"/>
              </w:rPr>
              <w:t>Qin Guo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0"/>
              </w:rPr>
              <w:t xml:space="preserve">,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24"/>
                <w:szCs w:val="20"/>
              </w:rPr>
              <w:t>Tian Li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0"/>
              </w:rPr>
              <w:t>, Yang Qu, Manzhu Liang, Yiming Ha, Yu Zhang, Qiang Wang. New research development on tran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24"/>
                <w:szCs w:val="20"/>
              </w:rPr>
              <w:t xml:space="preserve">s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0"/>
              </w:rPr>
              <w:t>fatty acids in food: Biological effects, analytical methods, formation mechanism, and mitigating measures. Progress in Lipid Research, 2023, 89: 101199.</w:t>
            </w:r>
          </w:p>
          <w:p w14:paraId="701481FC">
            <w:pPr>
              <w:spacing w:line="440" w:lineRule="exact"/>
              <w:ind w:left="0" w:firstLine="0" w:firstLineChars="0"/>
              <w:jc w:val="both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2.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</w:rPr>
              <w:t xml:space="preserve">Zongyuan Wu, Huaming Xiao, Di Rao, Jie Wang, Xin Lv, Dan Wang, Ping Yao, Fenghong Huang, Hong Chen, 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24"/>
              </w:rPr>
              <w:t>Fang Wei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</w:rPr>
              <w:t xml:space="preserve"> Analytical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s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</w:rPr>
              <w:t xml:space="preserve">trategy for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o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</w:rPr>
              <w:t xml:space="preserve">xylipin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a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</w:rPr>
              <w:t xml:space="preserve">nnotation by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c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</w:rPr>
              <w:t xml:space="preserve">ombining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c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</w:rPr>
              <w:t xml:space="preserve">hemical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d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</w:rPr>
              <w:t>erivatization-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b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</w:rPr>
              <w:t xml:space="preserve">ased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r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</w:rPr>
              <w:t xml:space="preserve">etention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i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</w:rPr>
              <w:t xml:space="preserve">ndex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a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</w:rPr>
              <w:t xml:space="preserve">lgorithm and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f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</w:rPr>
              <w:t xml:space="preserve">eature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</w:rPr>
              <w:t xml:space="preserve">andem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m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</w:rPr>
              <w:t xml:space="preserve">ass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s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</w:rPr>
              <w:t xml:space="preserve">pectrometric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f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</w:rPr>
              <w:t xml:space="preserve">ragmentation as a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b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</w:rPr>
              <w:t xml:space="preserve">iomarker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d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</w:rPr>
              <w:t xml:space="preserve">iscovery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</w:rPr>
              <w:t>ool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</w:rPr>
              <w:t xml:space="preserve"> Analytical Chemistry, 2023, 95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0"/>
              </w:rPr>
              <w:t xml:space="preserve">: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</w:rPr>
              <w:t>15933.</w:t>
            </w:r>
          </w:p>
          <w:p w14:paraId="3ECF8DC0">
            <w:pPr>
              <w:spacing w:line="440" w:lineRule="exact"/>
              <w:ind w:left="0" w:firstLine="0" w:firstLineChars="0"/>
              <w:jc w:val="both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3.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</w:rPr>
              <w:t>Hua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eastAsia="zh-CN"/>
              </w:rPr>
              <w:t>m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</w:rPr>
              <w:t>ing Xiao, Xiao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eastAsia="zh-CN"/>
              </w:rPr>
              <w:t>h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</w:rPr>
              <w:t>ui Peng, Di Rao, Shuai Zhao, Dilshad Hussain, Jian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eastAsia="zh-CN"/>
              </w:rPr>
              <w:t>l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</w:rPr>
              <w:t xml:space="preserve">i Chen, Dan Luo, Dan Wang, Xin Lv, Xian Wang, 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24"/>
              </w:rPr>
              <w:t>Fang Wei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</w:rPr>
              <w:t>, Hong Chen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</w:rPr>
              <w:t xml:space="preserve"> Volume-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c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</w:rPr>
              <w:t xml:space="preserve">orrected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f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</w:rPr>
              <w:t xml:space="preserve">ree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e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</w:rPr>
              <w:t xml:space="preserve">nergy as a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n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</w:rPr>
              <w:t xml:space="preserve">ew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c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</w:rPr>
              <w:t xml:space="preserve">riterion for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s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</w:rPr>
              <w:t xml:space="preserve">tructural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e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</w:rPr>
              <w:t xml:space="preserve">lucidation in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c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</w:rPr>
              <w:t>hemical-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</w:rPr>
              <w:t>agging-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b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</w:rPr>
              <w:t xml:space="preserve">ased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m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</w:rPr>
              <w:t>etabolomics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</w:rPr>
              <w:t xml:space="preserve"> Analytical Chemistry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,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</w:rPr>
              <w:t xml:space="preserve"> 2023, 95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0"/>
              </w:rPr>
              <w:t xml:space="preserve">: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</w:rPr>
              <w:t>9847-9854.</w:t>
            </w:r>
          </w:p>
          <w:p w14:paraId="405CC481">
            <w:pPr>
              <w:spacing w:line="440" w:lineRule="exact"/>
              <w:ind w:left="0" w:firstLine="0" w:firstLineChars="0"/>
              <w:jc w:val="both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4.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</w:rPr>
              <w:t xml:space="preserve">Shuling Xu, Bang-fu Wu, Matej Orešič, Ya Xie, Ping Yao, Zong-yuan Wu, Xin Lv, Hong Chen, 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24"/>
              </w:rPr>
              <w:t>Fang Wei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</w:rPr>
              <w:t xml:space="preserve">, Double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d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</w:rPr>
              <w:t xml:space="preserve">erivatization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s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</w:rPr>
              <w:t xml:space="preserve">trategy for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h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</w:rPr>
              <w:t>igh-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s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</w:rPr>
              <w:t xml:space="preserve">ensitivity and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h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</w:rPr>
              <w:t>igh-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c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</w:rPr>
              <w:t xml:space="preserve">overage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l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</w:rPr>
              <w:t xml:space="preserve">ocalization of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d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</w:rPr>
              <w:t xml:space="preserve">ouble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b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</w:rPr>
              <w:t xml:space="preserve">onds in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f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</w:rPr>
              <w:t xml:space="preserve">ree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f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</w:rPr>
              <w:t xml:space="preserve">atty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a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</w:rPr>
              <w:t xml:space="preserve">cids by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m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</w:rPr>
              <w:t xml:space="preserve">ass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s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</w:rPr>
              <w:t>pectrometry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</w:rPr>
              <w:t xml:space="preserve"> Analytical Chemistry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,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</w:rPr>
              <w:t xml:space="preserve"> 2020, 92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0"/>
              </w:rPr>
              <w:t xml:space="preserve">: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</w:rPr>
              <w:t>6446-6455.</w:t>
            </w:r>
          </w:p>
          <w:p w14:paraId="11418B5C">
            <w:pPr>
              <w:numPr>
                <w:ilvl w:val="-1"/>
                <w:numId w:val="0"/>
              </w:numPr>
              <w:spacing w:line="440" w:lineRule="exact"/>
              <w:ind w:left="0" w:firstLine="0" w:firstLineChars="0"/>
              <w:jc w:val="both"/>
              <w:rPr>
                <w:rFonts w:hint="eastAsia" w:ascii="Times New Roman" w:hAnsi="Times New Roman" w:eastAsia="宋体" w:cs="Times New Roman"/>
                <w:color w:val="00000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0"/>
                <w:lang w:val="en-US" w:eastAsia="zh-CN"/>
              </w:rPr>
              <w:t>5.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0"/>
              </w:rPr>
              <w:t xml:space="preserve">An Li,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24"/>
                <w:szCs w:val="20"/>
              </w:rPr>
              <w:t>Yiming Ha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0"/>
              </w:rPr>
              <w:t>, Feng Wang, Weiming Li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0"/>
                <w:lang w:val="en-US" w:eastAsia="zh-CN"/>
              </w:rPr>
              <w:t>, Qingpeng Li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0"/>
              </w:rPr>
              <w:t>. Determination of thermally induced trans-fatty acids in soybean oil by attenuated total reflectance-fourier transform infrared spectroscopy and gas chromatography analysis. Journal of Agricultural and Food Chemistry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0"/>
                <w:lang w:val="en-US" w:eastAsia="zh-CN"/>
              </w:rPr>
              <w:t>,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0"/>
              </w:rPr>
              <w:t xml:space="preserve"> 2012, 60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0"/>
                <w:lang w:val="en-US" w:eastAsia="zh-CN"/>
              </w:rPr>
              <w:t>(42)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0"/>
              </w:rPr>
              <w:t>: 10709-10713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0"/>
                <w:lang w:val="en-US" w:eastAsia="zh-CN"/>
              </w:rPr>
              <w:t>.</w:t>
            </w:r>
          </w:p>
          <w:p w14:paraId="1A0E2381">
            <w:pPr>
              <w:numPr>
                <w:ilvl w:val="-1"/>
                <w:numId w:val="0"/>
              </w:numPr>
              <w:spacing w:line="440" w:lineRule="exact"/>
              <w:ind w:left="0" w:firstLine="0" w:firstLineChars="0"/>
              <w:jc w:val="both"/>
              <w:rPr>
                <w:rFonts w:hint="eastAsia" w:ascii="Times New Roman" w:hAnsi="Times New Roman" w:eastAsia="宋体" w:cs="Times New Roman"/>
                <w:color w:val="00000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24"/>
                <w:szCs w:val="20"/>
                <w:lang w:val="en-US" w:eastAsia="zh-CN"/>
              </w:rPr>
              <w:t>6.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24"/>
                <w:szCs w:val="20"/>
              </w:rPr>
              <w:t>Tian Li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0"/>
              </w:rPr>
              <w:t xml:space="preserve">, 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24"/>
                <w:szCs w:val="20"/>
              </w:rPr>
              <w:t>Qin Guo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0"/>
              </w:rPr>
              <w:t xml:space="preserve">, Yang Qu, Hongzhi Liu, Li Liu, Yu Zhang, Qiang Wang. Inhibition mechanism of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0"/>
              </w:rPr>
              <w:t>trans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0"/>
              </w:rPr>
              <w:t>-resveratrol on thermally induced trans fatty acids in peanut oil. Food Chemistry, 2023, 406: 134863.</w:t>
            </w:r>
          </w:p>
          <w:p w14:paraId="16239C50">
            <w:pPr>
              <w:spacing w:line="440" w:lineRule="exact"/>
              <w:ind w:left="0" w:firstLine="0" w:firstLineChars="0"/>
              <w:jc w:val="both"/>
              <w:rPr>
                <w:rFonts w:hint="eastAsia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24"/>
                <w:lang w:val="en-US" w:eastAsia="zh-CN"/>
              </w:rPr>
              <w:t>7.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24"/>
              </w:rPr>
              <w:t>Qin Guo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</w:rPr>
              <w:t xml:space="preserve">, Tian Li, Yang Qu, Xinping Wang, Yujie Li, Hongzhi Liu, Li Liu, Qiang Wang. Action of phytosterols on thermally induced 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</w:rPr>
              <w:t xml:space="preserve">trans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</w:rPr>
              <w:t xml:space="preserve">fatty acids in peanut oil. Food Chemistry, 2021, 344: 128637. </w:t>
            </w:r>
          </w:p>
          <w:p w14:paraId="3E19C567">
            <w:pPr>
              <w:numPr>
                <w:ilvl w:val="-1"/>
                <w:numId w:val="0"/>
              </w:numPr>
              <w:spacing w:line="440" w:lineRule="exact"/>
              <w:ind w:left="0" w:firstLine="0"/>
              <w:jc w:val="both"/>
              <w:rPr>
                <w:rFonts w:hint="eastAsia" w:eastAsia="楷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24"/>
                <w:szCs w:val="20"/>
                <w:lang w:val="en-US" w:eastAsia="zh-CN"/>
              </w:rPr>
              <w:t>8.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24"/>
                <w:szCs w:val="20"/>
              </w:rPr>
              <w:t>Qin Guo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0"/>
              </w:rPr>
              <w:t xml:space="preserve">,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24"/>
                <w:szCs w:val="20"/>
              </w:rPr>
              <w:t>Yiming Ha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0"/>
              </w:rPr>
              <w:t>, Qingpeng Li, Jing Jin, Zhaoxuan Deng, Yongfu Li, Songshan Zhang. Impact of additives on thermally-induced trans isomers in 9c,12c linoleic acid triacylglycerol. Food Chemistry, 2015, 174: 299-305.</w:t>
            </w:r>
          </w:p>
        </w:tc>
      </w:tr>
      <w:tr w14:paraId="1B894A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4" w:hRule="atLeast"/>
          <w:jc w:val="center"/>
        </w:trPr>
        <w:tc>
          <w:tcPr>
            <w:tcW w:w="2269" w:type="dxa"/>
            <w:vAlign w:val="center"/>
          </w:tcPr>
          <w:p w14:paraId="01D491B1">
            <w:pPr>
              <w:spacing w:line="440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主要完成人</w:t>
            </w:r>
          </w:p>
          <w:p w14:paraId="52E5F65C">
            <w:pPr>
              <w:spacing w:line="440" w:lineRule="exact"/>
              <w:jc w:val="center"/>
              <w:rPr>
                <w:lang w:val="en"/>
              </w:rPr>
            </w:pPr>
            <w:r>
              <w:rPr>
                <w:b/>
                <w:bCs/>
                <w:sz w:val="24"/>
                <w:szCs w:val="24"/>
                <w:lang w:val="en"/>
              </w:rPr>
              <w:t>（排序、工作单位和贡献）</w:t>
            </w:r>
          </w:p>
        </w:tc>
        <w:tc>
          <w:tcPr>
            <w:tcW w:w="7051" w:type="dxa"/>
            <w:vAlign w:val="center"/>
          </w:tcPr>
          <w:p w14:paraId="535FC159">
            <w:pPr>
              <w:spacing w:line="440" w:lineRule="exact"/>
              <w:rPr>
                <w:rFonts w:hint="default" w:eastAsia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bCs w:val="0"/>
                <w:color w:val="000000"/>
                <w:sz w:val="24"/>
                <w:szCs w:val="24"/>
              </w:rPr>
              <w:t>1.</w:t>
            </w:r>
            <w:r>
              <w:rPr>
                <w:rFonts w:hint="default" w:ascii="Times New Roman" w:hAnsi="Times New Roman" w:eastAsia="宋体" w:cs="Times New Roman"/>
                <w:bCs w:val="0"/>
                <w:color w:val="000000"/>
                <w:sz w:val="24"/>
                <w:szCs w:val="24"/>
              </w:rPr>
              <w:t>郭芹</w:t>
            </w:r>
            <w:r>
              <w:rPr>
                <w:rFonts w:hint="default" w:ascii="Times New Roman" w:hAnsi="Times New Roman" w:eastAsia="宋体" w:cs="Times New Roman"/>
                <w:bCs w:val="0"/>
                <w:color w:val="000000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bCs w:val="0"/>
                <w:color w:val="000000"/>
                <w:sz w:val="24"/>
                <w:szCs w:val="24"/>
                <w:lang w:val="en-US" w:eastAsia="zh-CN"/>
              </w:rPr>
              <w:t>第一完成人</w:t>
            </w:r>
            <w:r>
              <w:rPr>
                <w:rFonts w:hint="default" w:ascii="Times New Roman" w:hAnsi="Times New Roman" w:eastAsia="宋体" w:cs="Times New Roman"/>
                <w:bCs w:val="0"/>
                <w:color w:val="000000"/>
                <w:sz w:val="24"/>
                <w:szCs w:val="24"/>
                <w:lang w:eastAsia="zh-CN"/>
              </w:rPr>
              <w:t>）</w:t>
            </w:r>
            <w:r>
              <w:rPr>
                <w:rFonts w:ascii="Times New Roman" w:hAnsi="Times New Roman" w:eastAsia="宋体" w:cs="Times New Roman"/>
                <w:bCs w:val="0"/>
                <w:color w:val="000000"/>
                <w:sz w:val="24"/>
                <w:szCs w:val="24"/>
              </w:rPr>
              <w:t>，</w:t>
            </w:r>
            <w:r>
              <w:rPr>
                <w:rFonts w:hint="default" w:ascii="Times New Roman" w:hAnsi="Times New Roman" w:eastAsia="宋体" w:cs="Times New Roman"/>
                <w:bCs w:val="0"/>
                <w:color w:val="000000"/>
                <w:sz w:val="24"/>
                <w:szCs w:val="24"/>
              </w:rPr>
              <w:t>中国农业科学院农产品加工研究所</w:t>
            </w:r>
            <w:r>
              <w:rPr>
                <w:rFonts w:ascii="Times New Roman" w:hAnsi="Times New Roman" w:eastAsia="宋体" w:cs="Times New Roman"/>
                <w:bCs w:val="0"/>
                <w:color w:val="000000"/>
                <w:sz w:val="24"/>
                <w:szCs w:val="24"/>
              </w:rPr>
              <w:t>，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作为项目核心负责人，统筹整体设计、组织实施与科学问题凝练；创建TFAs快检和高通量质谱方法，革新传统分析范式；揭示热加工 TFAs 双轨驱动新机理，明确限速机制与调控靶点；提出TFAs调控“SII”构效关系新理论，阐明天然酚醇调控机理，突破零TFAs 油脂研发瓶颈，提供原创理论与技术方案。</w:t>
            </w:r>
          </w:p>
          <w:p w14:paraId="65E356BC">
            <w:pPr>
              <w:spacing w:line="440" w:lineRule="exac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eastAsia="宋体" w:cs="Times New Roman"/>
                <w:bCs w:val="0"/>
                <w:color w:val="000000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eastAsia="宋体" w:cs="Times New Roman"/>
                <w:bCs w:val="0"/>
                <w:color w:val="000000"/>
                <w:sz w:val="24"/>
                <w:szCs w:val="24"/>
              </w:rPr>
              <w:t>魏芳</w:t>
            </w:r>
            <w:r>
              <w:rPr>
                <w:rFonts w:ascii="Times New Roman" w:hAnsi="Times New Roman" w:eastAsia="宋体" w:cs="Times New Roman"/>
                <w:bCs w:val="0"/>
                <w:color w:val="000000"/>
                <w:sz w:val="24"/>
                <w:szCs w:val="24"/>
              </w:rPr>
              <w:t>，</w:t>
            </w:r>
            <w:r>
              <w:rPr>
                <w:rFonts w:hint="default" w:ascii="Times New Roman" w:hAnsi="Times New Roman" w:eastAsia="宋体" w:cs="Times New Roman"/>
                <w:bCs w:val="0"/>
                <w:color w:val="000000"/>
                <w:sz w:val="24"/>
                <w:szCs w:val="24"/>
              </w:rPr>
              <w:t>中国农业科学院油料作物研究所</w:t>
            </w:r>
            <w:r>
              <w:rPr>
                <w:rFonts w:ascii="Times New Roman" w:hAnsi="Times New Roman" w:eastAsia="宋体" w:cs="Times New Roman"/>
                <w:bCs w:val="0"/>
                <w:color w:val="000000"/>
                <w:sz w:val="24"/>
                <w:szCs w:val="24"/>
              </w:rPr>
              <w:t>，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提出TFAs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及其氧化产物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检测“电荷转变+双键标记”双重衍生化理论；创建CD-RI-LC-MS/MS整合分析新策略；阐明异构体离子碎裂规律的协同判别机制。</w:t>
            </w:r>
          </w:p>
          <w:p w14:paraId="177AE045">
            <w:pPr>
              <w:spacing w:line="440" w:lineRule="exact"/>
              <w:rPr>
                <w:rFonts w:hint="eastAsia"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</w:t>
            </w:r>
            <w:r>
              <w:rPr>
                <w:rFonts w:hint="eastAsia"/>
                <w:bCs/>
                <w:sz w:val="24"/>
                <w:szCs w:val="24"/>
              </w:rPr>
              <w:t>张伟敏</w:t>
            </w:r>
            <w:r>
              <w:rPr>
                <w:bCs/>
                <w:sz w:val="24"/>
                <w:szCs w:val="24"/>
              </w:rPr>
              <w:t>，</w:t>
            </w:r>
            <w:r>
              <w:rPr>
                <w:rFonts w:hint="eastAsia"/>
                <w:bCs/>
                <w:sz w:val="24"/>
                <w:szCs w:val="24"/>
              </w:rPr>
              <w:t>海南大学</w:t>
            </w:r>
            <w:r>
              <w:rPr>
                <w:bCs/>
                <w:sz w:val="24"/>
                <w:szCs w:val="24"/>
              </w:rPr>
              <w:t>，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明确酚醇类活性物质对油脂 TFAs 的抑制作用，阐明其作用规律与机制；探究顺反异构结构差异对油脂热氧化行为的影响，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明晰顺反异构导致自由基链式氧化反应产物和危害作用差异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。</w:t>
            </w:r>
          </w:p>
          <w:p w14:paraId="6F84B419">
            <w:pPr>
              <w:spacing w:line="440" w:lineRule="exact"/>
              <w:rPr>
                <w:rFonts w:hint="eastAsia"/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4.李甜</w:t>
            </w:r>
            <w:r>
              <w:rPr>
                <w:bCs/>
                <w:sz w:val="24"/>
                <w:szCs w:val="24"/>
              </w:rPr>
              <w:t>，</w:t>
            </w:r>
            <w:r>
              <w:rPr>
                <w:rFonts w:hint="eastAsia"/>
                <w:bCs/>
                <w:sz w:val="24"/>
                <w:szCs w:val="24"/>
              </w:rPr>
              <w:t>海南大学</w:t>
            </w:r>
            <w:r>
              <w:rPr>
                <w:bCs/>
                <w:sz w:val="24"/>
                <w:szCs w:val="24"/>
              </w:rPr>
              <w:t>，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建立基于氰丙基和离子液固定相的高通量 GC/GC-MS方法，实现11种TFAs高效分离与精准识别；明确反式亚油酸质子转移异构机制，确定酚醇调控 TFAs 关键靶点，开发零反式高品质食用油。</w:t>
            </w:r>
          </w:p>
          <w:p w14:paraId="40460909">
            <w:pPr>
              <w:spacing w:line="440" w:lineRule="exact"/>
              <w:rPr>
                <w:rFonts w:hint="eastAsia"/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5.于修烛</w:t>
            </w:r>
            <w:r>
              <w:rPr>
                <w:bCs/>
                <w:sz w:val="24"/>
                <w:szCs w:val="24"/>
              </w:rPr>
              <w:t>，</w:t>
            </w:r>
            <w:r>
              <w:rPr>
                <w:rFonts w:hint="eastAsia"/>
                <w:bCs/>
                <w:sz w:val="24"/>
                <w:szCs w:val="24"/>
              </w:rPr>
              <w:t>西北农林科技大学</w:t>
            </w:r>
            <w:r>
              <w:rPr>
                <w:bCs/>
                <w:sz w:val="24"/>
                <w:szCs w:val="24"/>
              </w:rPr>
              <w:t>，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构建高效精准低成本的 TFAs 快检技术体系，实现快速精准定性定量；明晰抑制TFAs生成的关键结构特征；推进技术迭代与成果转化，为食用油安全管控提供核心支撑。</w:t>
            </w:r>
          </w:p>
          <w:p w14:paraId="7C7F192E">
            <w:pPr>
              <w:spacing w:line="440" w:lineRule="exac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  <w:lang w:val="en-US" w:eastAsia="zh-CN"/>
              </w:rPr>
              <w:t>6.王强</w:t>
            </w:r>
            <w:r>
              <w:rPr>
                <w:bCs/>
                <w:sz w:val="24"/>
                <w:szCs w:val="24"/>
              </w:rPr>
              <w:t>，</w:t>
            </w:r>
            <w:r>
              <w:rPr>
                <w:rFonts w:hint="eastAsia"/>
                <w:bCs/>
                <w:sz w:val="24"/>
                <w:szCs w:val="24"/>
              </w:rPr>
              <w:t>中国农业科学院农产品加工研究所</w:t>
            </w:r>
            <w:r>
              <w:rPr>
                <w:bCs/>
                <w:sz w:val="24"/>
                <w:szCs w:val="24"/>
              </w:rPr>
              <w:t>，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明确植物甾醇、白藜芦醇等酚醇物质的 TFAs 抑制作用；揭示酚醇类物质抑制 TFAs 形成的路径与分子机理。</w:t>
            </w:r>
          </w:p>
          <w:p w14:paraId="58B7522D">
            <w:pPr>
              <w:spacing w:line="440" w:lineRule="exact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  <w:lang w:eastAsia="zh-CN"/>
              </w:rPr>
              <w:t>7</w:t>
            </w:r>
            <w:r>
              <w:rPr>
                <w:rFonts w:hint="eastAsia"/>
                <w:bCs/>
                <w:sz w:val="24"/>
                <w:szCs w:val="24"/>
              </w:rPr>
              <w:t>.哈益明</w:t>
            </w:r>
            <w:r>
              <w:rPr>
                <w:bCs/>
                <w:sz w:val="24"/>
                <w:szCs w:val="24"/>
              </w:rPr>
              <w:t>，</w:t>
            </w:r>
            <w:r>
              <w:rPr>
                <w:rFonts w:hint="eastAsia"/>
                <w:bCs/>
                <w:sz w:val="24"/>
                <w:szCs w:val="24"/>
              </w:rPr>
              <w:t>中国农业科学院农产品加工研究所</w:t>
            </w:r>
            <w:r>
              <w:rPr>
                <w:bCs/>
                <w:sz w:val="24"/>
                <w:szCs w:val="24"/>
              </w:rPr>
              <w:t>，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建立食用油反式亚油酸 GC-MS 精准识别方法；揭示其形成路径及质子转移机理；明确反应途径的关键过渡态与中间体结构信息。</w:t>
            </w:r>
          </w:p>
          <w:p w14:paraId="015E3A46">
            <w:pPr>
              <w:spacing w:line="440" w:lineRule="exac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Cs/>
                <w:sz w:val="24"/>
                <w:szCs w:val="24"/>
                <w:lang w:eastAsia="zh-CN"/>
              </w:rPr>
              <w:t>8</w:t>
            </w:r>
            <w:r>
              <w:rPr>
                <w:rFonts w:hint="eastAsia"/>
                <w:bCs/>
                <w:sz w:val="24"/>
                <w:szCs w:val="24"/>
              </w:rPr>
              <w:t>.顾丰颖</w:t>
            </w:r>
            <w:r>
              <w:rPr>
                <w:bCs/>
                <w:sz w:val="24"/>
                <w:szCs w:val="24"/>
              </w:rPr>
              <w:t>，</w:t>
            </w:r>
            <w:r>
              <w:rPr>
                <w:rFonts w:hint="eastAsia"/>
                <w:bCs/>
                <w:sz w:val="24"/>
                <w:szCs w:val="24"/>
              </w:rPr>
              <w:t>中国农业科学院农产品加工研究所</w:t>
            </w:r>
            <w:r>
              <w:rPr>
                <w:bCs/>
                <w:sz w:val="24"/>
                <w:szCs w:val="24"/>
              </w:rPr>
              <w:t>，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系统分析不同食用油 TFAs 的种类与结构特征；构建食用油供应链中关键 TFAs 的特征指纹图谱库。</w:t>
            </w:r>
          </w:p>
        </w:tc>
      </w:tr>
      <w:tr w14:paraId="53128E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8" w:hRule="atLeast"/>
          <w:jc w:val="center"/>
        </w:trPr>
        <w:tc>
          <w:tcPr>
            <w:tcW w:w="2269" w:type="dxa"/>
            <w:vAlign w:val="center"/>
          </w:tcPr>
          <w:p w14:paraId="7CE9A816">
            <w:pPr>
              <w:spacing w:line="440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主要完成单位</w:t>
            </w:r>
          </w:p>
          <w:p w14:paraId="2AE24104">
            <w:pPr>
              <w:pStyle w:val="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（排序和贡献）</w:t>
            </w:r>
          </w:p>
        </w:tc>
        <w:tc>
          <w:tcPr>
            <w:tcW w:w="7051" w:type="dxa"/>
            <w:vAlign w:val="center"/>
          </w:tcPr>
          <w:p w14:paraId="1BC12651">
            <w:pPr>
              <w:spacing w:line="440" w:lineRule="exact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海南大学，作为本项目牵头与基础理论突破单位，统筹项目总体设计、核心理论突破与关键技术体系构建；解析食用油热加工 TFAs氧化关键路径，阐明天然酚醇调控TFAs形成机理，解析</w:t>
            </w:r>
            <w:r>
              <w:rPr>
                <w:rFonts w:ascii="Times New Roman" w:hAnsi="Times New Roman" w:eastAsia="宋体" w:cs="Times New Roman"/>
                <w:i/>
                <w:iCs/>
                <w:sz w:val="24"/>
                <w:szCs w:val="24"/>
              </w:rPr>
              <w:t>Cis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eastAsia="宋体" w:cs="Times New Roman"/>
                <w:i/>
                <w:iCs/>
                <w:sz w:val="24"/>
                <w:szCs w:val="24"/>
              </w:rPr>
              <w:t>trans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异构的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氧化行为差异和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细胞氧化损伤机制；研发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零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TFAs热带特色高品质油脂，助力海南特色油脂危害物精准消减与营养附加值提升。</w:t>
            </w:r>
          </w:p>
          <w:p w14:paraId="4E6009AB">
            <w:pPr>
              <w:spacing w:line="440" w:lineRule="exact"/>
              <w:jc w:val="both"/>
              <w:rPr>
                <w:bCs/>
                <w:color w:val="EE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</w:t>
            </w:r>
            <w:r>
              <w:rPr>
                <w:rFonts w:hint="eastAsia"/>
                <w:bCs/>
                <w:sz w:val="24"/>
                <w:szCs w:val="24"/>
              </w:rPr>
              <w:t>中国农业科学院农产品加工研究所</w:t>
            </w:r>
            <w:r>
              <w:rPr>
                <w:bCs/>
                <w:sz w:val="24"/>
                <w:szCs w:val="24"/>
              </w:rPr>
              <w:t>，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作为本项目TFAs形成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和调控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基础理论创新单位，创建食用油TFAs快检与高通量质谱方法，实现传统分析范式革新，构建关键TFAs结构信息基础数据库；揭示热加工TFAs 双轨驱动新机理，提出调控“SII”构效关系新理论，突破零TFAs 高品质油脂研发瓶颈，推动油脂安全营养与功能化发展。</w:t>
            </w:r>
          </w:p>
          <w:p w14:paraId="27472065">
            <w:pPr>
              <w:spacing w:line="440" w:lineRule="exact"/>
              <w:jc w:val="both"/>
              <w:rPr>
                <w:bCs/>
                <w:color w:val="EE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</w:t>
            </w:r>
            <w:r>
              <w:rPr>
                <w:rFonts w:hint="eastAsia"/>
                <w:bCs/>
                <w:sz w:val="24"/>
                <w:szCs w:val="24"/>
              </w:rPr>
              <w:t>中国农业科学院油料作</w:t>
            </w:r>
            <w:r>
              <w:rPr>
                <w:rFonts w:hint="default" w:ascii="Times New Roman" w:hAnsi="Times New Roman" w:eastAsia="宋体" w:cs="Times New Roman"/>
                <w:bCs w:val="0"/>
                <w:color w:val="000000"/>
                <w:sz w:val="24"/>
                <w:szCs w:val="24"/>
              </w:rPr>
              <w:t>物研究所，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作为本项目TFAs精细结构方法理论创新单位，提出“电荷转变+双键标记”双重衍生化理论，创建CD-RI-LC-MS/MS整合分析新策略，阐明异构体离子碎裂规律协同判别机制，突破传统方法灵敏度低、精细结构解析难瓶颈，推动油脂精细结构分析技术发展。</w:t>
            </w:r>
          </w:p>
          <w:p w14:paraId="64B01B42">
            <w:pPr>
              <w:spacing w:line="440" w:lineRule="exact"/>
              <w:jc w:val="both"/>
              <w:rPr>
                <w:rFonts w:hint="eastAsia"/>
                <w:bCs/>
                <w:color w:val="EE0000"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4.西北农林科技大学，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作为TFAs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红外快检理论方法创新单位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，建立危害物精准鉴定核心理论，实现检测方法升级突破；基于光谱重组技术标记追踪关键危害物，运算还原待测样品光谱，提升FTIR光谱法油样预处理速度，大幅提高检测通量与测定精度。</w:t>
            </w:r>
          </w:p>
        </w:tc>
      </w:tr>
    </w:tbl>
    <w:p w14:paraId="3CE45759">
      <w:pPr>
        <w:spacing w:line="440" w:lineRule="exact"/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4FF8D2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974090" cy="23495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74090" cy="234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F2CCE0">
                          <w:pPr>
                            <w:snapToGrid w:val="0"/>
                            <w:rPr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Cs w:val="28"/>
                            </w:rPr>
                            <w:t>102</w:t>
                          </w:r>
                          <w:r>
                            <w:rPr>
                              <w:rFonts w:hint="eastAsia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lIns="0" tIns="0" rIns="0" bIns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8.5pt;width:76.7pt;mso-position-horizontal:outside;mso-position-horizontal-relative:margin;z-index:251659264;mso-width-relative:page;mso-height-relative:page;" filled="f" stroked="f" coordsize="21600,21600" o:gfxdata="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1F2CCE0">
                    <w:pPr>
                      <w:snapToGrid w:val="0"/>
                      <w:rPr>
                        <w:szCs w:val="28"/>
                      </w:rPr>
                    </w:pPr>
                    <w:r>
                      <w:rPr>
                        <w:rFonts w:hint="eastAsia"/>
                        <w:szCs w:val="28"/>
                      </w:rPr>
                      <w:t xml:space="preserve">— </w:t>
                    </w:r>
                    <w:r>
                      <w:rPr>
                        <w:rFonts w:hint="eastAsia"/>
                        <w:szCs w:val="28"/>
                      </w:rPr>
                      <w:fldChar w:fldCharType="begin"/>
                    </w:r>
                    <w:r>
                      <w:rPr>
                        <w:rFonts w:hint="eastAsia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Cs w:val="28"/>
                      </w:rPr>
                      <w:fldChar w:fldCharType="separate"/>
                    </w:r>
                    <w:r>
                      <w:rPr>
                        <w:rFonts w:hint="eastAsia"/>
                        <w:szCs w:val="28"/>
                      </w:rPr>
                      <w:t>102</w:t>
                    </w:r>
                    <w:r>
                      <w:rPr>
                        <w:rFonts w:hint="eastAsia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B96777C"/>
    <w:multiLevelType w:val="multilevel"/>
    <w:tmpl w:val="1B96777C"/>
    <w:lvl w:ilvl="0" w:tentative="0">
      <w:start w:val="1"/>
      <w:numFmt w:val="decimal"/>
      <w:pStyle w:val="11"/>
      <w:lvlText w:val="[%1]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AxNjJkYWM4YjU5NDc4MWRkNzYxZGM2YjNlZWUzZGEifQ=="/>
  </w:docVars>
  <w:rsids>
    <w:rsidRoot w:val="00F36502"/>
    <w:rsid w:val="000437B6"/>
    <w:rsid w:val="00150EAD"/>
    <w:rsid w:val="001B04FC"/>
    <w:rsid w:val="0026130D"/>
    <w:rsid w:val="00793E48"/>
    <w:rsid w:val="008953F8"/>
    <w:rsid w:val="00AE42EE"/>
    <w:rsid w:val="00C54C77"/>
    <w:rsid w:val="00D72D80"/>
    <w:rsid w:val="00E22688"/>
    <w:rsid w:val="00ED6413"/>
    <w:rsid w:val="00F36502"/>
    <w:rsid w:val="00F42EAE"/>
    <w:rsid w:val="00FC206D"/>
    <w:rsid w:val="020149A5"/>
    <w:rsid w:val="027F2F56"/>
    <w:rsid w:val="02BD28BB"/>
    <w:rsid w:val="035166A0"/>
    <w:rsid w:val="03CF5817"/>
    <w:rsid w:val="041B6CAE"/>
    <w:rsid w:val="042C0EBC"/>
    <w:rsid w:val="046E5030"/>
    <w:rsid w:val="047F0FEB"/>
    <w:rsid w:val="04C9495C"/>
    <w:rsid w:val="056D7096"/>
    <w:rsid w:val="056E0F4D"/>
    <w:rsid w:val="05AE32C2"/>
    <w:rsid w:val="07CF228A"/>
    <w:rsid w:val="080261BB"/>
    <w:rsid w:val="08B1373D"/>
    <w:rsid w:val="08B651F8"/>
    <w:rsid w:val="09410F65"/>
    <w:rsid w:val="09E85885"/>
    <w:rsid w:val="0A2C751F"/>
    <w:rsid w:val="0A3C4EDA"/>
    <w:rsid w:val="0A3D797F"/>
    <w:rsid w:val="0ACA6D38"/>
    <w:rsid w:val="0AF10769"/>
    <w:rsid w:val="0BA8707A"/>
    <w:rsid w:val="0C2C7CAB"/>
    <w:rsid w:val="0C476893"/>
    <w:rsid w:val="0CAF61E6"/>
    <w:rsid w:val="0CE265BB"/>
    <w:rsid w:val="0CE572D0"/>
    <w:rsid w:val="0D523C8C"/>
    <w:rsid w:val="0D611BD6"/>
    <w:rsid w:val="0D8E229F"/>
    <w:rsid w:val="0D975F08"/>
    <w:rsid w:val="0DF30354"/>
    <w:rsid w:val="0E4D5CB6"/>
    <w:rsid w:val="0E71409B"/>
    <w:rsid w:val="0F2E7896"/>
    <w:rsid w:val="0F735BF1"/>
    <w:rsid w:val="0FEE34C9"/>
    <w:rsid w:val="101A2510"/>
    <w:rsid w:val="11E76422"/>
    <w:rsid w:val="12791770"/>
    <w:rsid w:val="12CF313E"/>
    <w:rsid w:val="13286CF2"/>
    <w:rsid w:val="13EB54F9"/>
    <w:rsid w:val="1461070D"/>
    <w:rsid w:val="14B4083D"/>
    <w:rsid w:val="14CF1B1B"/>
    <w:rsid w:val="14EE5B14"/>
    <w:rsid w:val="15BE749A"/>
    <w:rsid w:val="15F15AC1"/>
    <w:rsid w:val="17163A31"/>
    <w:rsid w:val="173C2D6C"/>
    <w:rsid w:val="17991F6C"/>
    <w:rsid w:val="17FA6EAF"/>
    <w:rsid w:val="187D763D"/>
    <w:rsid w:val="188E3A9B"/>
    <w:rsid w:val="198729C4"/>
    <w:rsid w:val="19E17DEB"/>
    <w:rsid w:val="1A885114"/>
    <w:rsid w:val="1AF75928"/>
    <w:rsid w:val="1BA07D6D"/>
    <w:rsid w:val="1C766D20"/>
    <w:rsid w:val="1CEF25FC"/>
    <w:rsid w:val="1CFA16FF"/>
    <w:rsid w:val="1D100F23"/>
    <w:rsid w:val="1D2247B2"/>
    <w:rsid w:val="1D24677C"/>
    <w:rsid w:val="20344F28"/>
    <w:rsid w:val="20711CD8"/>
    <w:rsid w:val="20C04A0E"/>
    <w:rsid w:val="219F0AC7"/>
    <w:rsid w:val="22902F40"/>
    <w:rsid w:val="22FF35CB"/>
    <w:rsid w:val="234B4A63"/>
    <w:rsid w:val="239F4DAE"/>
    <w:rsid w:val="23F01166"/>
    <w:rsid w:val="249E0BC2"/>
    <w:rsid w:val="258424AE"/>
    <w:rsid w:val="25F018F1"/>
    <w:rsid w:val="26EE4083"/>
    <w:rsid w:val="274912B9"/>
    <w:rsid w:val="27532138"/>
    <w:rsid w:val="2916341D"/>
    <w:rsid w:val="29C25353"/>
    <w:rsid w:val="2A8820F8"/>
    <w:rsid w:val="2AC5334C"/>
    <w:rsid w:val="2B395AE8"/>
    <w:rsid w:val="2B634913"/>
    <w:rsid w:val="2BC01AD4"/>
    <w:rsid w:val="2BE94E19"/>
    <w:rsid w:val="2C4E1120"/>
    <w:rsid w:val="2CA43435"/>
    <w:rsid w:val="2CB20162"/>
    <w:rsid w:val="2D3C366E"/>
    <w:rsid w:val="2D4349FC"/>
    <w:rsid w:val="2DF83A39"/>
    <w:rsid w:val="2E9574DA"/>
    <w:rsid w:val="2F0B154A"/>
    <w:rsid w:val="2F1B1C13"/>
    <w:rsid w:val="2F2443BA"/>
    <w:rsid w:val="2F7E7F6E"/>
    <w:rsid w:val="30085A89"/>
    <w:rsid w:val="306058C5"/>
    <w:rsid w:val="30AB4D93"/>
    <w:rsid w:val="30FF50DE"/>
    <w:rsid w:val="314E571E"/>
    <w:rsid w:val="31AC0DC2"/>
    <w:rsid w:val="33DC080F"/>
    <w:rsid w:val="34E20222"/>
    <w:rsid w:val="35245113"/>
    <w:rsid w:val="36A75FFC"/>
    <w:rsid w:val="36B6225D"/>
    <w:rsid w:val="37C30C14"/>
    <w:rsid w:val="38637780"/>
    <w:rsid w:val="386A5533"/>
    <w:rsid w:val="39111E53"/>
    <w:rsid w:val="391953AC"/>
    <w:rsid w:val="39D8471E"/>
    <w:rsid w:val="3B824942"/>
    <w:rsid w:val="3BBC60A6"/>
    <w:rsid w:val="3BCB0097"/>
    <w:rsid w:val="3CE04016"/>
    <w:rsid w:val="3DF37D79"/>
    <w:rsid w:val="3E3C1720"/>
    <w:rsid w:val="3EC040FF"/>
    <w:rsid w:val="3F786788"/>
    <w:rsid w:val="3FAE03FB"/>
    <w:rsid w:val="3FBB0422"/>
    <w:rsid w:val="3FC26FB4"/>
    <w:rsid w:val="41263FC1"/>
    <w:rsid w:val="414F176A"/>
    <w:rsid w:val="41744D2D"/>
    <w:rsid w:val="418A27A2"/>
    <w:rsid w:val="429F402B"/>
    <w:rsid w:val="42A15FF5"/>
    <w:rsid w:val="449A2CFC"/>
    <w:rsid w:val="44C85ABB"/>
    <w:rsid w:val="451A208F"/>
    <w:rsid w:val="4574516C"/>
    <w:rsid w:val="458319E2"/>
    <w:rsid w:val="46113492"/>
    <w:rsid w:val="46205A1C"/>
    <w:rsid w:val="46492C2C"/>
    <w:rsid w:val="464A0752"/>
    <w:rsid w:val="46853538"/>
    <w:rsid w:val="46A75BA4"/>
    <w:rsid w:val="473C009B"/>
    <w:rsid w:val="47775577"/>
    <w:rsid w:val="47E8093D"/>
    <w:rsid w:val="4860600B"/>
    <w:rsid w:val="48F52BF7"/>
    <w:rsid w:val="49296D45"/>
    <w:rsid w:val="49A07007"/>
    <w:rsid w:val="4ABF34BD"/>
    <w:rsid w:val="4AEC002A"/>
    <w:rsid w:val="4B95246F"/>
    <w:rsid w:val="4BC6087B"/>
    <w:rsid w:val="4CD07C03"/>
    <w:rsid w:val="4CD86AB8"/>
    <w:rsid w:val="4D1B4BF6"/>
    <w:rsid w:val="4E1C6E78"/>
    <w:rsid w:val="4E6A1991"/>
    <w:rsid w:val="4E6F51FA"/>
    <w:rsid w:val="4F691C49"/>
    <w:rsid w:val="4FB05ACA"/>
    <w:rsid w:val="500B71A4"/>
    <w:rsid w:val="50533BEF"/>
    <w:rsid w:val="50616DC4"/>
    <w:rsid w:val="512247A5"/>
    <w:rsid w:val="514F30C0"/>
    <w:rsid w:val="521C7446"/>
    <w:rsid w:val="5244074B"/>
    <w:rsid w:val="53426A39"/>
    <w:rsid w:val="53AE40CE"/>
    <w:rsid w:val="53B51901"/>
    <w:rsid w:val="543907B0"/>
    <w:rsid w:val="559B68D4"/>
    <w:rsid w:val="560650D6"/>
    <w:rsid w:val="560E354A"/>
    <w:rsid w:val="56D55E16"/>
    <w:rsid w:val="570861EB"/>
    <w:rsid w:val="570F757A"/>
    <w:rsid w:val="588E49D7"/>
    <w:rsid w:val="58C83E84"/>
    <w:rsid w:val="58F05189"/>
    <w:rsid w:val="59401C6C"/>
    <w:rsid w:val="595E6596"/>
    <w:rsid w:val="599B3347"/>
    <w:rsid w:val="59A71CEC"/>
    <w:rsid w:val="59EA607C"/>
    <w:rsid w:val="59F667CF"/>
    <w:rsid w:val="5A557999"/>
    <w:rsid w:val="5A871B1D"/>
    <w:rsid w:val="5B991B08"/>
    <w:rsid w:val="5BFA391B"/>
    <w:rsid w:val="5CD5091E"/>
    <w:rsid w:val="5CF52D6E"/>
    <w:rsid w:val="5D39757E"/>
    <w:rsid w:val="5D5201C0"/>
    <w:rsid w:val="5D7243BE"/>
    <w:rsid w:val="5E023994"/>
    <w:rsid w:val="5E03770C"/>
    <w:rsid w:val="5E79177D"/>
    <w:rsid w:val="5F7A1C50"/>
    <w:rsid w:val="5F8605F5"/>
    <w:rsid w:val="5FB46F10"/>
    <w:rsid w:val="60600E46"/>
    <w:rsid w:val="60762418"/>
    <w:rsid w:val="60EB5790"/>
    <w:rsid w:val="610C0686"/>
    <w:rsid w:val="6118527D"/>
    <w:rsid w:val="618D5C6B"/>
    <w:rsid w:val="61EA6C19"/>
    <w:rsid w:val="622D2FAA"/>
    <w:rsid w:val="627961EF"/>
    <w:rsid w:val="627E55B4"/>
    <w:rsid w:val="62EB67A0"/>
    <w:rsid w:val="63224191"/>
    <w:rsid w:val="634265E1"/>
    <w:rsid w:val="63DD455C"/>
    <w:rsid w:val="64030466"/>
    <w:rsid w:val="64947310"/>
    <w:rsid w:val="65270184"/>
    <w:rsid w:val="652A1A23"/>
    <w:rsid w:val="65B337C6"/>
    <w:rsid w:val="65BA7FB3"/>
    <w:rsid w:val="6612673F"/>
    <w:rsid w:val="66DC6D4D"/>
    <w:rsid w:val="670267B3"/>
    <w:rsid w:val="676B07FC"/>
    <w:rsid w:val="67E4235D"/>
    <w:rsid w:val="68E1689C"/>
    <w:rsid w:val="693E541E"/>
    <w:rsid w:val="69C064B2"/>
    <w:rsid w:val="6AC65D4A"/>
    <w:rsid w:val="6B016D82"/>
    <w:rsid w:val="6B0D1BCA"/>
    <w:rsid w:val="6B4A0729"/>
    <w:rsid w:val="6B841E8D"/>
    <w:rsid w:val="6C975BF0"/>
    <w:rsid w:val="6D286848"/>
    <w:rsid w:val="6D6D4BA2"/>
    <w:rsid w:val="6DFF1C9E"/>
    <w:rsid w:val="6E4753F3"/>
    <w:rsid w:val="6EEA46FD"/>
    <w:rsid w:val="6EFC4430"/>
    <w:rsid w:val="709A7A5C"/>
    <w:rsid w:val="719941B8"/>
    <w:rsid w:val="724063E2"/>
    <w:rsid w:val="726A7902"/>
    <w:rsid w:val="72A93F87"/>
    <w:rsid w:val="72E6342D"/>
    <w:rsid w:val="72F53670"/>
    <w:rsid w:val="73397A01"/>
    <w:rsid w:val="733C129F"/>
    <w:rsid w:val="73F6144E"/>
    <w:rsid w:val="747F7695"/>
    <w:rsid w:val="74D84FF7"/>
    <w:rsid w:val="74DD2349"/>
    <w:rsid w:val="75390245"/>
    <w:rsid w:val="75705230"/>
    <w:rsid w:val="764346F2"/>
    <w:rsid w:val="76564426"/>
    <w:rsid w:val="766F3739"/>
    <w:rsid w:val="76760624"/>
    <w:rsid w:val="7682521B"/>
    <w:rsid w:val="771E02F9"/>
    <w:rsid w:val="77784870"/>
    <w:rsid w:val="797A48CF"/>
    <w:rsid w:val="7A434CC1"/>
    <w:rsid w:val="7A862E00"/>
    <w:rsid w:val="7B3211C7"/>
    <w:rsid w:val="7BBA5457"/>
    <w:rsid w:val="7CB1685A"/>
    <w:rsid w:val="7CC06A9D"/>
    <w:rsid w:val="7DC66335"/>
    <w:rsid w:val="7E3C65F7"/>
    <w:rsid w:val="7ECA3C03"/>
    <w:rsid w:val="7F6C2F0C"/>
    <w:rsid w:val="7FB977D3"/>
    <w:rsid w:val="7FE37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8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99"/>
    <w:pPr>
      <w:spacing w:after="120"/>
    </w:pPr>
  </w:style>
  <w:style w:type="paragraph" w:styleId="3">
    <w:name w:val="Plain Text"/>
    <w:basedOn w:val="1"/>
    <w:qFormat/>
    <w:uiPriority w:val="0"/>
    <w:pPr>
      <w:spacing w:line="360" w:lineRule="auto"/>
      <w:ind w:firstLine="480" w:firstLineChars="200"/>
    </w:pPr>
    <w:rPr>
      <w:rFonts w:ascii="仿宋_GB2312"/>
      <w:sz w:val="24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8">
    <w:name w:val="Default"/>
    <w:basedOn w:val="1"/>
    <w:qFormat/>
    <w:uiPriority w:val="0"/>
    <w:pPr>
      <w:autoSpaceDE w:val="0"/>
      <w:autoSpaceDN w:val="0"/>
      <w:adjustRightInd w:val="0"/>
      <w:jc w:val="left"/>
    </w:pPr>
    <w:rPr>
      <w:rFonts w:ascii="方正仿宋_GBK" w:hAnsi="方正仿宋_GBK"/>
    </w:rPr>
  </w:style>
  <w:style w:type="character" w:customStyle="1" w:styleId="9">
    <w:name w:val="title1"/>
    <w:qFormat/>
    <w:uiPriority w:val="0"/>
    <w:rPr>
      <w:b/>
      <w:bCs/>
      <w:color w:val="999900"/>
      <w:sz w:val="24"/>
      <w:szCs w:val="24"/>
    </w:rPr>
  </w:style>
  <w:style w:type="character" w:customStyle="1" w:styleId="10">
    <w:name w:val="apple-style-span"/>
    <w:qFormat/>
    <w:uiPriority w:val="0"/>
  </w:style>
  <w:style w:type="paragraph" w:styleId="11">
    <w:name w:val="List Paragraph"/>
    <w:basedOn w:val="1"/>
    <w:autoRedefine/>
    <w:qFormat/>
    <w:uiPriority w:val="99"/>
    <w:pPr>
      <w:numPr>
        <w:ilvl w:val="0"/>
        <w:numId w:val="1"/>
      </w:numPr>
      <w:spacing w:line="560" w:lineRule="exact"/>
    </w:pPr>
    <w:rPr>
      <w:rFonts w:ascii="Times New Roman" w:hAnsi="Times New Roman" w:eastAsia="楷体" w:cs="Times New Roman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2660</Words>
  <Characters>4452</Characters>
  <Lines>58</Lines>
  <Paragraphs>35</Paragraphs>
  <TotalTime>0</TotalTime>
  <ScaleCrop>false</ScaleCrop>
  <LinksUpToDate>false</LinksUpToDate>
  <CharactersWithSpaces>4774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2023-05-10T01:40:00Z</dcterms:created>
  <dc:creator>Lenovo</dc:creator>
  <cp:lastModifiedBy>Xiuzhu</cp:lastModifiedBy>
  <dcterms:modified xsi:type="dcterms:W3CDTF">2026-02-07T03:44:29Z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887F5A06B8D84B63A4EAEC8A4E4D1268_13</vt:lpwstr>
  </property>
  <property fmtid="{D5CDD505-2E9C-101B-9397-08002B2CF9AE}" pid="4" name="KSOTemplateDocerSaveRecord">
    <vt:lpwstr>eyJoZGlkIjoiYWZjZGQ5NTFmYTg2OTlmOWI1MGM0ZTM5ZWY1NmUwZjciLCJ1c2VySWQiOiI0NTMyMDc0NTIifQ==</vt:lpwstr>
  </property>
</Properties>
</file>